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315" w:rsidRDefault="00435315">
      <w:pPr>
        <w:pStyle w:val="BodyText"/>
        <w:ind w:right="279"/>
        <w:jc w:val="left"/>
        <w:rPr>
          <w:rFonts w:ascii="Times New Roman" w:hAnsi="Times New Roman" w:cs="Times New Roman"/>
          <w:b w:val="0"/>
          <w:bCs w:val="0"/>
        </w:rPr>
      </w:pPr>
    </w:p>
    <w:p w:rsidR="00435315" w:rsidRDefault="00435315" w:rsidP="00441786">
      <w:pPr>
        <w:pStyle w:val="BodyText"/>
        <w:ind w:right="279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>РЕЦЕНЗІЯ</w:t>
      </w:r>
    </w:p>
    <w:p w:rsidR="00435315" w:rsidRDefault="00435315" w:rsidP="00441786">
      <w:pPr>
        <w:pStyle w:val="BodyText"/>
        <w:ind w:right="279"/>
        <w:rPr>
          <w:rFonts w:ascii="Times New Roman" w:hAnsi="Times New Roman" w:cs="Times New Roman"/>
          <w:b w:val="0"/>
          <w:bCs w:val="0"/>
          <w:sz w:val="18"/>
          <w:szCs w:val="18"/>
        </w:rPr>
      </w:pPr>
      <w:r w:rsidRPr="00441786">
        <w:rPr>
          <w:rFonts w:ascii="Times New Roman" w:hAnsi="Times New Roman" w:cs="Times New Roman"/>
          <w:b w:val="0"/>
        </w:rPr>
        <w:t>на наукову роботу</w:t>
      </w:r>
      <w:r>
        <w:rPr>
          <w:rFonts w:ascii="Times New Roman" w:hAnsi="Times New Roman" w:cs="Times New Roman"/>
          <w:b w:val="0"/>
          <w:bCs w:val="0"/>
        </w:rPr>
        <w:t xml:space="preserve"> «</w:t>
      </w:r>
      <w:r w:rsidRPr="00441786">
        <w:rPr>
          <w:rFonts w:ascii="Times New Roman" w:hAnsi="Times New Roman" w:cs="Times New Roman"/>
          <w:bCs w:val="0"/>
        </w:rPr>
        <w:t>історія економіки</w:t>
      </w:r>
      <w:r>
        <w:rPr>
          <w:rFonts w:ascii="Times New Roman" w:hAnsi="Times New Roman" w:cs="Times New Roman"/>
          <w:bCs w:val="0"/>
        </w:rPr>
        <w:t>»</w:t>
      </w:r>
      <w:r>
        <w:rPr>
          <w:rFonts w:ascii="Times New Roman" w:hAnsi="Times New Roman" w:cs="Times New Roman"/>
          <w:b w:val="0"/>
          <w:bCs w:val="0"/>
        </w:rPr>
        <w:t>, представлену на Конкурс</w:t>
      </w:r>
    </w:p>
    <w:p w:rsidR="00435315" w:rsidRDefault="00435315" w:rsidP="00441786">
      <w:pPr>
        <w:pStyle w:val="BodyText"/>
        <w:ind w:right="279"/>
        <w:rPr>
          <w:rFonts w:ascii="Times New Roman" w:hAnsi="Times New Roman" w:cs="Times New Roman"/>
          <w:b w:val="0"/>
          <w:bCs w:val="0"/>
          <w:sz w:val="18"/>
          <w:szCs w:val="18"/>
        </w:rPr>
      </w:pPr>
    </w:p>
    <w:p w:rsidR="00435315" w:rsidRDefault="00435315" w:rsidP="00441786">
      <w:pPr>
        <w:ind w:right="279"/>
        <w:jc w:val="center"/>
        <w:rPr>
          <w:sz w:val="28"/>
          <w:szCs w:val="28"/>
        </w:rPr>
      </w:pPr>
      <w:r w:rsidRPr="00EC3FF1">
        <w:rPr>
          <w:sz w:val="28"/>
          <w:szCs w:val="28"/>
        </w:rPr>
        <w:t xml:space="preserve">з галузі знань </w:t>
      </w:r>
      <w:bookmarkStart w:id="0" w:name="_Hlk3549641"/>
      <w:r w:rsidRPr="00EC3FF1">
        <w:rPr>
          <w:sz w:val="28"/>
          <w:szCs w:val="28"/>
        </w:rPr>
        <w:t xml:space="preserve">«Гуманітарні науки» </w:t>
      </w:r>
      <w:r>
        <w:rPr>
          <w:sz w:val="28"/>
          <w:szCs w:val="28"/>
        </w:rPr>
        <w:t xml:space="preserve"> </w:t>
      </w:r>
      <w:r w:rsidRPr="00EC3FF1">
        <w:rPr>
          <w:sz w:val="28"/>
          <w:szCs w:val="28"/>
        </w:rPr>
        <w:t>зі спеціальності «Історичні науки»</w:t>
      </w:r>
      <w:bookmarkEnd w:id="0"/>
    </w:p>
    <w:p w:rsidR="00435315" w:rsidRDefault="00435315">
      <w:pPr>
        <w:ind w:right="279"/>
        <w:rPr>
          <w:sz w:val="20"/>
          <w:szCs w:val="2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6120"/>
        <w:gridCol w:w="1980"/>
        <w:gridCol w:w="927"/>
      </w:tblGrid>
      <w:tr w:rsidR="00435315" w:rsidRPr="002557C7">
        <w:tc>
          <w:tcPr>
            <w:tcW w:w="828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№</w:t>
            </w:r>
          </w:p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з/п</w:t>
            </w:r>
          </w:p>
        </w:tc>
        <w:tc>
          <w:tcPr>
            <w:tcW w:w="6120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Характеристики та критерії оцінки рукопису наукової роботи</w:t>
            </w:r>
          </w:p>
        </w:tc>
        <w:tc>
          <w:tcPr>
            <w:tcW w:w="1980" w:type="dxa"/>
          </w:tcPr>
          <w:p w:rsidR="00435315" w:rsidRPr="002557C7" w:rsidRDefault="00435315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435315" w:rsidRPr="002557C7" w:rsidRDefault="00435315">
            <w:pPr>
              <w:pStyle w:val="BodyText"/>
              <w:ind w:right="-8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Бали</w:t>
            </w:r>
          </w:p>
        </w:tc>
      </w:tr>
      <w:tr w:rsidR="00435315" w:rsidRPr="002557C7">
        <w:tc>
          <w:tcPr>
            <w:tcW w:w="828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435315" w:rsidRPr="002557C7" w:rsidRDefault="00435315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Актуальність проблеми</w:t>
            </w:r>
          </w:p>
        </w:tc>
        <w:tc>
          <w:tcPr>
            <w:tcW w:w="1980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10 </w:t>
            </w:r>
          </w:p>
        </w:tc>
        <w:tc>
          <w:tcPr>
            <w:tcW w:w="927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435315" w:rsidRPr="002557C7">
        <w:tc>
          <w:tcPr>
            <w:tcW w:w="828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6120" w:type="dxa"/>
          </w:tcPr>
          <w:p w:rsidR="00435315" w:rsidRPr="002557C7" w:rsidRDefault="00435315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Новизна та оригінальність ідей</w:t>
            </w:r>
          </w:p>
        </w:tc>
        <w:tc>
          <w:tcPr>
            <w:tcW w:w="1980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7</w:t>
            </w:r>
          </w:p>
        </w:tc>
      </w:tr>
      <w:tr w:rsidR="00435315" w:rsidRPr="002557C7">
        <w:tc>
          <w:tcPr>
            <w:tcW w:w="828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6120" w:type="dxa"/>
          </w:tcPr>
          <w:p w:rsidR="00435315" w:rsidRPr="002557C7" w:rsidRDefault="00435315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Використані методи дослідження</w:t>
            </w:r>
          </w:p>
        </w:tc>
        <w:tc>
          <w:tcPr>
            <w:tcW w:w="1980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7</w:t>
            </w:r>
          </w:p>
        </w:tc>
      </w:tr>
      <w:tr w:rsidR="00435315" w:rsidRPr="002557C7">
        <w:tc>
          <w:tcPr>
            <w:tcW w:w="828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6120" w:type="dxa"/>
          </w:tcPr>
          <w:p w:rsidR="00435315" w:rsidRPr="002557C7" w:rsidRDefault="00435315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Теоретичні наукові результати</w:t>
            </w:r>
          </w:p>
        </w:tc>
        <w:tc>
          <w:tcPr>
            <w:tcW w:w="1980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</w:p>
        </w:tc>
      </w:tr>
      <w:tr w:rsidR="00435315" w:rsidRPr="002557C7">
        <w:tc>
          <w:tcPr>
            <w:tcW w:w="828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6120" w:type="dxa"/>
          </w:tcPr>
          <w:p w:rsidR="00435315" w:rsidRPr="002557C7" w:rsidRDefault="00435315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980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_</w:t>
            </w:r>
          </w:p>
        </w:tc>
      </w:tr>
      <w:tr w:rsidR="00435315" w:rsidRPr="002557C7">
        <w:tc>
          <w:tcPr>
            <w:tcW w:w="828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435315" w:rsidRPr="002557C7" w:rsidRDefault="00435315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980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</w:p>
        </w:tc>
      </w:tr>
      <w:tr w:rsidR="00435315" w:rsidRPr="002557C7">
        <w:tc>
          <w:tcPr>
            <w:tcW w:w="828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6120" w:type="dxa"/>
          </w:tcPr>
          <w:p w:rsidR="00435315" w:rsidRPr="002557C7" w:rsidRDefault="00435315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Ступінь самостійності роботи</w:t>
            </w:r>
          </w:p>
        </w:tc>
        <w:tc>
          <w:tcPr>
            <w:tcW w:w="1980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435315" w:rsidRPr="002557C7">
        <w:tc>
          <w:tcPr>
            <w:tcW w:w="828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6120" w:type="dxa"/>
          </w:tcPr>
          <w:p w:rsidR="00435315" w:rsidRPr="002557C7" w:rsidRDefault="00435315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Якість оформлення</w:t>
            </w:r>
          </w:p>
        </w:tc>
        <w:tc>
          <w:tcPr>
            <w:tcW w:w="1980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3</w:t>
            </w:r>
          </w:p>
        </w:tc>
      </w:tr>
      <w:tr w:rsidR="00435315" w:rsidRPr="002557C7">
        <w:tc>
          <w:tcPr>
            <w:tcW w:w="828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6120" w:type="dxa"/>
          </w:tcPr>
          <w:p w:rsidR="00435315" w:rsidRPr="002557C7" w:rsidRDefault="00435315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Наукові публікації</w:t>
            </w:r>
          </w:p>
        </w:tc>
        <w:tc>
          <w:tcPr>
            <w:tcW w:w="1980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–</w:t>
            </w:r>
          </w:p>
        </w:tc>
      </w:tr>
      <w:tr w:rsidR="00435315" w:rsidRPr="002557C7">
        <w:tc>
          <w:tcPr>
            <w:tcW w:w="828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6120" w:type="dxa"/>
          </w:tcPr>
          <w:p w:rsidR="00435315" w:rsidRPr="002557C7" w:rsidRDefault="00435315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980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13</w:t>
            </w:r>
          </w:p>
        </w:tc>
      </w:tr>
      <w:tr w:rsidR="00435315" w:rsidRPr="002557C7">
        <w:tc>
          <w:tcPr>
            <w:tcW w:w="828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6120" w:type="dxa"/>
          </w:tcPr>
          <w:p w:rsidR="00435315" w:rsidRPr="002557C7" w:rsidRDefault="00435315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Недоліки роботи (пояснення зниження максимальних балів у пунктах 1-9):</w:t>
            </w:r>
          </w:p>
        </w:tc>
        <w:tc>
          <w:tcPr>
            <w:tcW w:w="1980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435315" w:rsidRPr="002557C7">
        <w:tc>
          <w:tcPr>
            <w:tcW w:w="828" w:type="dxa"/>
          </w:tcPr>
          <w:p w:rsidR="00435315" w:rsidRPr="002557C7" w:rsidRDefault="00435315">
            <w:pPr>
              <w:pStyle w:val="BodyText"/>
              <w:ind w:right="-108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11.1</w:t>
            </w:r>
          </w:p>
        </w:tc>
        <w:tc>
          <w:tcPr>
            <w:tcW w:w="6120" w:type="dxa"/>
          </w:tcPr>
          <w:p w:rsidR="00435315" w:rsidRPr="002557C7" w:rsidRDefault="00435315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Актуальність роботи (наукову та соціальну) не доведено на достатньому рівні. </w:t>
            </w:r>
          </w:p>
        </w:tc>
        <w:tc>
          <w:tcPr>
            <w:tcW w:w="1980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435315" w:rsidRPr="002557C7">
        <w:tc>
          <w:tcPr>
            <w:tcW w:w="828" w:type="dxa"/>
          </w:tcPr>
          <w:p w:rsidR="00435315" w:rsidRPr="002557C7" w:rsidRDefault="00435315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11.2</w:t>
            </w:r>
          </w:p>
        </w:tc>
        <w:tc>
          <w:tcPr>
            <w:tcW w:w="6120" w:type="dxa"/>
          </w:tcPr>
          <w:p w:rsidR="00435315" w:rsidRPr="002557C7" w:rsidRDefault="00435315">
            <w:pPr>
              <w:pStyle w:val="BodyText"/>
              <w:ind w:right="279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Новаторський внесок автора роботи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,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що ставить за мету реконструювати біографію (навіть не інтелектуальну) І. Вернадського (с. 4) виглядає 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c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умнівним на фоні вже існуючих фахових досліджень, зокрема, фундаментальної монографії Н. Нікітіної “Іван Вернадський” (М., 2010 р.), котра спирається на багатий архівний матеріал й детально охоплює як наукову, так і громадсько-освітню діяльність вченого. </w:t>
            </w:r>
          </w:p>
        </w:tc>
        <w:tc>
          <w:tcPr>
            <w:tcW w:w="1980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435315" w:rsidRPr="002557C7">
        <w:tc>
          <w:tcPr>
            <w:tcW w:w="828" w:type="dxa"/>
          </w:tcPr>
          <w:p w:rsidR="00435315" w:rsidRPr="002557C7" w:rsidRDefault="00435315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11.4</w:t>
            </w:r>
          </w:p>
        </w:tc>
        <w:tc>
          <w:tcPr>
            <w:tcW w:w="6120" w:type="dxa"/>
          </w:tcPr>
          <w:p w:rsidR="00435315" w:rsidRPr="002557C7" w:rsidRDefault="00435315">
            <w:pPr>
              <w:pStyle w:val="BodyText"/>
              <w:ind w:right="279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Робота фактично</w:t>
            </w:r>
            <w:bookmarkStart w:id="1" w:name="_GoBack"/>
            <w:bookmarkEnd w:id="1"/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 не м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істить достатньо обґрунтованих теоретичних результатів.</w:t>
            </w:r>
          </w:p>
        </w:tc>
        <w:tc>
          <w:tcPr>
            <w:tcW w:w="1980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435315" w:rsidRPr="002557C7">
        <w:tc>
          <w:tcPr>
            <w:tcW w:w="828" w:type="dxa"/>
          </w:tcPr>
          <w:p w:rsidR="00435315" w:rsidRPr="002557C7" w:rsidRDefault="00435315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11.5</w:t>
            </w:r>
          </w:p>
        </w:tc>
        <w:tc>
          <w:tcPr>
            <w:tcW w:w="6120" w:type="dxa"/>
          </w:tcPr>
          <w:p w:rsidR="00435315" w:rsidRPr="002557C7" w:rsidRDefault="00435315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–</w:t>
            </w:r>
          </w:p>
        </w:tc>
        <w:tc>
          <w:tcPr>
            <w:tcW w:w="1980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435315" w:rsidRPr="002557C7">
        <w:tc>
          <w:tcPr>
            <w:tcW w:w="828" w:type="dxa"/>
          </w:tcPr>
          <w:p w:rsidR="00435315" w:rsidRPr="002557C7" w:rsidRDefault="00435315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11.6</w:t>
            </w:r>
          </w:p>
        </w:tc>
        <w:tc>
          <w:tcPr>
            <w:tcW w:w="6120" w:type="dxa"/>
          </w:tcPr>
          <w:p w:rsidR="00435315" w:rsidRPr="002557C7" w:rsidRDefault="00435315">
            <w:pPr>
              <w:pStyle w:val="BodyText"/>
              <w:ind w:right="279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У досл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ідженні не розрізняються література та джерела інформації й усі залучені до роботи тексти помилково занесено під шапку 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“Список використаних джерел” (с. 31-32).</w:t>
            </w:r>
          </w:p>
          <w:p w:rsidR="00435315" w:rsidRPr="002557C7" w:rsidRDefault="00435315">
            <w:pPr>
              <w:pStyle w:val="BodyText"/>
              <w:ind w:right="279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Вибіркове використання наявних джерел та літератури. До списку використаних джерел не потрапили релевантні темі 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досл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ідження 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монограф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ії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 та статті 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І. Вернадського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, що знаходяться у в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ільному (електронному) доступі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, зокрема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: 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“Пол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ітична рівновага та Англія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” (1855 р., режим доступу: </w:t>
            </w:r>
            <w:hyperlink r:id="rId6" w:anchor="?page=1" w:history="1">
              <w:r w:rsidRPr="002557C7">
                <w:rPr>
                  <w:rStyle w:val="Hyperlink"/>
                  <w:rFonts w:ascii="Times New Roman" w:hAnsi="Times New Roman"/>
                  <w:b w:val="0"/>
                  <w:color w:val="000000"/>
                  <w:sz w:val="24"/>
                  <w:szCs w:val="24"/>
                  <w:u w:val="none"/>
                  <w:lang w:val="ru-RU"/>
                </w:rPr>
                <w:t>https://dlib.rsl.ru/viewer/01003563172#?page=1</w:t>
              </w:r>
            </w:hyperlink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); “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Історичний очерк практичної статистики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”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(М.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, 1855, 92 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c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., 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режим доступу: </w:t>
            </w:r>
            <w:hyperlink r:id="rId7" w:history="1">
              <w:r w:rsidRPr="002557C7">
                <w:rPr>
                  <w:rStyle w:val="Hyperlink"/>
                  <w:rFonts w:ascii="Times New Roman" w:hAnsi="Times New Roman"/>
                  <w:b w:val="0"/>
                  <w:color w:val="000000"/>
                  <w:sz w:val="24"/>
                  <w:szCs w:val="24"/>
                  <w:u w:val="none"/>
                </w:rPr>
                <w:t>http://swetschin.narod.ru/others/Vernadsky_JB_History_of_Practical_Statistics.pdf</w:t>
              </w:r>
            </w:hyperlink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);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 “Завдання статистики” (1852 р., режим доступу: </w:t>
            </w:r>
            <w:hyperlink r:id="rId8" w:history="1">
              <w:r w:rsidRPr="002557C7">
                <w:rPr>
                  <w:rStyle w:val="Hyperlink"/>
                  <w:rFonts w:ascii="Times New Roman" w:hAnsi="Times New Roman"/>
                  <w:b w:val="0"/>
                  <w:color w:val="000000"/>
                  <w:sz w:val="24"/>
                  <w:szCs w:val="24"/>
                  <w:u w:val="none"/>
                  <w:lang w:val="ru-RU"/>
                </w:rPr>
                <w:t>http://swetschin.narod.ru/others/Vernadsky_JB_The_Task_of_Statistics.pdf</w:t>
              </w:r>
            </w:hyperlink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)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“Про зовн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ішню торгівлю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” (1856, режим доступу: </w:t>
            </w:r>
            <w:hyperlink r:id="rId9" w:history="1">
              <w:r w:rsidRPr="002557C7">
                <w:rPr>
                  <w:rStyle w:val="Hyperlink"/>
                  <w:rFonts w:ascii="Times New Roman" w:hAnsi="Times New Roman"/>
                  <w:b w:val="0"/>
                  <w:color w:val="000000"/>
                  <w:sz w:val="24"/>
                  <w:szCs w:val="24"/>
                  <w:u w:val="none"/>
                  <w:lang w:val="ru-RU"/>
                </w:rPr>
                <w:t>http://az.lib.ru/w/wernadskij_i_w/text_1856_o_vneshney_torgovle.shtml</w:t>
              </w:r>
            </w:hyperlink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)</w:t>
            </w:r>
          </w:p>
          <w:p w:rsidR="00435315" w:rsidRPr="002557C7" w:rsidRDefault="00435315">
            <w:pPr>
              <w:pStyle w:val="BodyText"/>
              <w:ind w:right="279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До списку л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ітератури не потрапила узагальнююча монографія: Никитина Н. Иван Вернадский. – М.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, 2010, 368 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c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.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435315" w:rsidRPr="002557C7">
        <w:tc>
          <w:tcPr>
            <w:tcW w:w="828" w:type="dxa"/>
          </w:tcPr>
          <w:p w:rsidR="00435315" w:rsidRPr="002557C7" w:rsidRDefault="00435315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11.7</w:t>
            </w:r>
          </w:p>
        </w:tc>
        <w:tc>
          <w:tcPr>
            <w:tcW w:w="6120" w:type="dxa"/>
          </w:tcPr>
          <w:p w:rsidR="00435315" w:rsidRPr="002557C7" w:rsidRDefault="00435315">
            <w:pPr>
              <w:pStyle w:val="BodyText"/>
              <w:ind w:right="279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Недостатній рівень самостійності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роботи. Багато запозичень. Унікальність тексту (при перевірці на програмному забезпеченні 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AntiPlagiat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.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NET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) складає 65 %, а з врахуванням не прямих цитацій та переформулювань – 51 %. Перевірка засобами 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 xml:space="preserve">Unichek.com 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дала рівень оригінальності в 72,33%.</w:t>
            </w:r>
          </w:p>
        </w:tc>
        <w:tc>
          <w:tcPr>
            <w:tcW w:w="1980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435315" w:rsidRPr="002557C7">
        <w:tc>
          <w:tcPr>
            <w:tcW w:w="828" w:type="dxa"/>
          </w:tcPr>
          <w:p w:rsidR="00435315" w:rsidRPr="002557C7" w:rsidRDefault="00435315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11.8</w:t>
            </w:r>
          </w:p>
        </w:tc>
        <w:tc>
          <w:tcPr>
            <w:tcW w:w="6120" w:type="dxa"/>
          </w:tcPr>
          <w:p w:rsidR="00435315" w:rsidRPr="002557C7" w:rsidRDefault="00435315">
            <w:pPr>
              <w:pStyle w:val="BodyText"/>
              <w:ind w:right="279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Робота оформлена недбало. Так, дослідження починається з розділу 2, який йде в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ідразу після вступу (с. 5).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 Наявними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є граматичні помилки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 (як приклад – назва п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ідрозділу 1.1 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“Р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</w:t>
            </w:r>
            <w:r w:rsidRPr="002557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ій період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” замість “Ра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  <w:lang w:val="ru-RU"/>
              </w:rPr>
              <w:t>нн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ій період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” (с. 2, 5))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тощо. </w:t>
            </w:r>
          </w:p>
        </w:tc>
        <w:tc>
          <w:tcPr>
            <w:tcW w:w="1980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435315" w:rsidRPr="002557C7">
        <w:tc>
          <w:tcPr>
            <w:tcW w:w="828" w:type="dxa"/>
          </w:tcPr>
          <w:p w:rsidR="00435315" w:rsidRPr="002557C7" w:rsidRDefault="00435315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11.9</w:t>
            </w:r>
          </w:p>
        </w:tc>
        <w:tc>
          <w:tcPr>
            <w:tcW w:w="6120" w:type="dxa"/>
          </w:tcPr>
          <w:p w:rsidR="00435315" w:rsidRPr="002557C7" w:rsidRDefault="00435315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–</w:t>
            </w:r>
          </w:p>
        </w:tc>
        <w:tc>
          <w:tcPr>
            <w:tcW w:w="1980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435315" w:rsidRPr="002557C7">
        <w:tc>
          <w:tcPr>
            <w:tcW w:w="828" w:type="dxa"/>
          </w:tcPr>
          <w:p w:rsidR="00435315" w:rsidRPr="002557C7" w:rsidRDefault="00435315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11.10</w:t>
            </w:r>
          </w:p>
        </w:tc>
        <w:tc>
          <w:tcPr>
            <w:tcW w:w="6120" w:type="dxa"/>
          </w:tcPr>
          <w:p w:rsidR="00435315" w:rsidRPr="002557C7" w:rsidRDefault="00435315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 тому значенні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, в якому автор використову</w:t>
            </w:r>
            <w:r w:rsidRPr="002557C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є вже наявний дослідницький ресурс інших авторів глибина аналізу та опрацювання джерел виглядає задовільною</w:t>
            </w:r>
          </w:p>
        </w:tc>
        <w:tc>
          <w:tcPr>
            <w:tcW w:w="1980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435315" w:rsidRPr="002557C7">
        <w:tc>
          <w:tcPr>
            <w:tcW w:w="8928" w:type="dxa"/>
            <w:gridSpan w:val="3"/>
          </w:tcPr>
          <w:p w:rsidR="00435315" w:rsidRPr="002557C7" w:rsidRDefault="00435315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Cs w:val="0"/>
                <w:sz w:val="24"/>
                <w:szCs w:val="24"/>
              </w:rPr>
              <w:t>Сума балів</w:t>
            </w:r>
          </w:p>
        </w:tc>
        <w:tc>
          <w:tcPr>
            <w:tcW w:w="927" w:type="dxa"/>
          </w:tcPr>
          <w:p w:rsidR="00435315" w:rsidRPr="002557C7" w:rsidRDefault="00435315">
            <w:pPr>
              <w:pStyle w:val="BodyText"/>
              <w:ind w:right="279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2557C7">
              <w:rPr>
                <w:rFonts w:ascii="Times New Roman" w:hAnsi="Times New Roman" w:cs="Times New Roman"/>
                <w:bCs w:val="0"/>
                <w:sz w:val="24"/>
                <w:szCs w:val="24"/>
              </w:rPr>
              <w:t>47</w:t>
            </w:r>
          </w:p>
        </w:tc>
      </w:tr>
    </w:tbl>
    <w:p w:rsidR="00435315" w:rsidRDefault="00435315">
      <w:pPr>
        <w:pStyle w:val="BodyText"/>
        <w:ind w:left="-180" w:right="279"/>
        <w:jc w:val="left"/>
        <w:rPr>
          <w:rFonts w:ascii="Times New Roman" w:hAnsi="Times New Roman" w:cs="Times New Roman"/>
          <w:b w:val="0"/>
          <w:bCs w:val="0"/>
        </w:rPr>
      </w:pPr>
    </w:p>
    <w:sectPr w:rsidR="00435315" w:rsidSect="00341805">
      <w:pgSz w:w="11906" w:h="16838"/>
      <w:pgMar w:top="1134" w:right="20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315" w:rsidRDefault="00435315">
      <w:r>
        <w:separator/>
      </w:r>
    </w:p>
  </w:endnote>
  <w:endnote w:type="continuationSeparator" w:id="0">
    <w:p w:rsidR="00435315" w:rsidRDefault="004353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315" w:rsidRDefault="00435315">
      <w:r>
        <w:separator/>
      </w:r>
    </w:p>
  </w:footnote>
  <w:footnote w:type="continuationSeparator" w:id="0">
    <w:p w:rsidR="00435315" w:rsidRDefault="004353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786"/>
    <w:rsid w:val="002557C7"/>
    <w:rsid w:val="002808A1"/>
    <w:rsid w:val="002C03E8"/>
    <w:rsid w:val="00341805"/>
    <w:rsid w:val="00435315"/>
    <w:rsid w:val="00441786"/>
    <w:rsid w:val="00664EFA"/>
    <w:rsid w:val="00736D6C"/>
    <w:rsid w:val="009C2584"/>
    <w:rsid w:val="00EC3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1805"/>
    <w:rPr>
      <w:rFonts w:ascii="Times New Roman" w:hAnsi="Times New Roman"/>
      <w:sz w:val="24"/>
      <w:szCs w:val="24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418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41805"/>
    <w:pPr>
      <w:keepNext/>
      <w:spacing w:before="240" w:after="60"/>
      <w:outlineLvl w:val="3"/>
    </w:pPr>
    <w:rPr>
      <w:b/>
      <w:bCs/>
      <w:sz w:val="28"/>
      <w:szCs w:val="28"/>
      <w:lang w:eastAsia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4180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4180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41805"/>
    <w:rPr>
      <w:rFonts w:ascii="Arial" w:hAnsi="Arial" w:cs="Arial"/>
      <w:b/>
      <w:bCs/>
      <w:sz w:val="26"/>
      <w:szCs w:val="26"/>
      <w:lang w:val="uk-UA" w:eastAsia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41805"/>
    <w:rPr>
      <w:rFonts w:ascii="Times New Roman" w:hAnsi="Times New Roman" w:cs="Times New Roman"/>
      <w:b/>
      <w:bCs/>
      <w:sz w:val="28"/>
      <w:szCs w:val="28"/>
      <w:lang w:val="uk-UA" w:eastAsia="uk-U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41805"/>
    <w:rPr>
      <w:rFonts w:ascii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41805"/>
    <w:rPr>
      <w:rFonts w:ascii="Calibri" w:hAnsi="Calibri" w:cs="Calibri"/>
      <w:b/>
      <w:bCs/>
      <w:lang w:val="uk-UA"/>
    </w:rPr>
  </w:style>
  <w:style w:type="paragraph" w:styleId="BodyText">
    <w:name w:val="Body Text"/>
    <w:basedOn w:val="Normal"/>
    <w:link w:val="BodyTextChar"/>
    <w:uiPriority w:val="99"/>
    <w:rsid w:val="00341805"/>
    <w:pPr>
      <w:jc w:val="center"/>
    </w:pPr>
    <w:rPr>
      <w:rFonts w:ascii="Calibri" w:hAnsi="Calibri" w:cs="Calibri"/>
      <w:b/>
      <w:bCs/>
      <w:sz w:val="28"/>
      <w:szCs w:val="28"/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4180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">
    <w:name w:val="Основной текст Знак"/>
    <w:basedOn w:val="DefaultParagraphFont"/>
    <w:uiPriority w:val="99"/>
    <w:rsid w:val="00341805"/>
    <w:rPr>
      <w:rFonts w:ascii="Calibri" w:hAnsi="Calibri" w:cs="Calibri"/>
      <w:b/>
      <w:bCs/>
      <w:sz w:val="28"/>
      <w:szCs w:val="28"/>
      <w:lang w:val="uk-UA" w:eastAsia="uk-UA"/>
    </w:rPr>
  </w:style>
  <w:style w:type="paragraph" w:styleId="Header">
    <w:name w:val="header"/>
    <w:basedOn w:val="Normal"/>
    <w:link w:val="HeaderChar"/>
    <w:uiPriority w:val="99"/>
    <w:rsid w:val="00341805"/>
    <w:pPr>
      <w:tabs>
        <w:tab w:val="center" w:pos="4153"/>
        <w:tab w:val="right" w:pos="8306"/>
      </w:tabs>
      <w:ind w:firstLine="567"/>
      <w:jc w:val="both"/>
    </w:pPr>
    <w:rPr>
      <w:rFonts w:ascii="Calibri" w:hAnsi="Calibri" w:cs="Calibri"/>
      <w:sz w:val="28"/>
      <w:szCs w:val="28"/>
      <w:lang w:eastAsia="uk-U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4180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0">
    <w:name w:val="Верхний колонтитул Знак"/>
    <w:basedOn w:val="DefaultParagraphFont"/>
    <w:uiPriority w:val="99"/>
    <w:rsid w:val="00341805"/>
    <w:rPr>
      <w:rFonts w:ascii="Calibri" w:hAnsi="Calibri" w:cs="Calibri"/>
      <w:sz w:val="28"/>
      <w:szCs w:val="28"/>
      <w:lang w:val="uk-UA" w:eastAsia="uk-UA"/>
    </w:rPr>
  </w:style>
  <w:style w:type="paragraph" w:styleId="FootnoteText">
    <w:name w:val="footnote text"/>
    <w:basedOn w:val="Normal"/>
    <w:link w:val="FootnoteTextChar"/>
    <w:uiPriority w:val="99"/>
    <w:rsid w:val="00341805"/>
    <w:rPr>
      <w:rFonts w:ascii="Calibri" w:hAnsi="Calibri" w:cs="Calibri"/>
      <w:sz w:val="22"/>
      <w:szCs w:val="22"/>
      <w:lang w:eastAsia="uk-U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41805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1">
    <w:name w:val="Текст сноски Знак"/>
    <w:basedOn w:val="DefaultParagraphFont"/>
    <w:uiPriority w:val="99"/>
    <w:rsid w:val="00341805"/>
    <w:rPr>
      <w:rFonts w:ascii="Calibri" w:hAnsi="Calibri" w:cs="Calibri"/>
      <w:sz w:val="22"/>
      <w:szCs w:val="22"/>
      <w:lang w:val="uk-UA" w:eastAsia="uk-UA"/>
    </w:rPr>
  </w:style>
  <w:style w:type="character" w:styleId="FootnoteReference">
    <w:name w:val="footnote reference"/>
    <w:basedOn w:val="DefaultParagraphFont"/>
    <w:uiPriority w:val="99"/>
    <w:rsid w:val="00341805"/>
    <w:rPr>
      <w:rFonts w:ascii="Times New Roman" w:hAnsi="Times New Roman" w:cs="Times New Roman"/>
      <w:vertAlign w:val="superscript"/>
    </w:rPr>
  </w:style>
  <w:style w:type="character" w:styleId="PageNumber">
    <w:name w:val="page number"/>
    <w:basedOn w:val="DefaultParagraphFont"/>
    <w:uiPriority w:val="99"/>
    <w:rsid w:val="00341805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341805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4180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2">
    <w:name w:val="Нижний колонтитул Знак"/>
    <w:basedOn w:val="DefaultParagraphFont"/>
    <w:uiPriority w:val="99"/>
    <w:rsid w:val="00341805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34180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wetschin.narod.ru/others/Vernadsky_JB_The_Task_of_Statistics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wetschin.narod.ru/others/Vernadsky_JB_History_of_Practical_Statistics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lib.rsl.ru/viewer/01003563172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az.lib.ru/w/wernadskij_i_w/text_1856_o_vneshney_torgovle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521</Words>
  <Characters>2976</Characters>
  <Application>Microsoft Office Outlook</Application>
  <DocSecurity>0</DocSecurity>
  <Lines>0</Lines>
  <Paragraphs>0</Paragraphs>
  <ScaleCrop>false</ScaleCrop>
  <Company>UCL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IITZO</dc:creator>
  <cp:keywords/>
  <dc:description/>
  <cp:lastModifiedBy>ntokar</cp:lastModifiedBy>
  <cp:revision>4</cp:revision>
  <cp:lastPrinted>2017-05-29T09:41:00Z</cp:lastPrinted>
  <dcterms:created xsi:type="dcterms:W3CDTF">2019-03-20T17:20:00Z</dcterms:created>
  <dcterms:modified xsi:type="dcterms:W3CDTF">2019-03-26T09:36:00Z</dcterms:modified>
</cp:coreProperties>
</file>